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C2" w:rsidRPr="00B37764" w:rsidRDefault="00BF07C2" w:rsidP="00E04A15">
      <w:pPr>
        <w:pStyle w:val="firstline"/>
        <w:jc w:val="center"/>
        <w:rPr>
          <w:b/>
          <w:sz w:val="28"/>
          <w:szCs w:val="28"/>
        </w:rPr>
      </w:pPr>
      <w:r w:rsidRPr="00B37764">
        <w:rPr>
          <w:b/>
          <w:sz w:val="28"/>
          <w:szCs w:val="28"/>
        </w:rPr>
        <w:t>Методика за оценка на офертите</w:t>
      </w:r>
    </w:p>
    <w:p w:rsidR="00E04A15" w:rsidRPr="002A4BC0" w:rsidRDefault="00E04A15" w:rsidP="00E04A15">
      <w:pPr>
        <w:jc w:val="center"/>
        <w:rPr>
          <w:b/>
          <w:lang w:val="ru-RU"/>
        </w:rPr>
      </w:pPr>
      <w:r w:rsidRPr="002A4BC0">
        <w:rPr>
          <w:b/>
        </w:rPr>
        <w:t>за обществена поръчка</w:t>
      </w:r>
      <w:r w:rsidRPr="002A4BC0">
        <w:rPr>
          <w:b/>
          <w:lang w:val="ru-RU"/>
        </w:rPr>
        <w:t xml:space="preserve"> с предмет:</w:t>
      </w:r>
    </w:p>
    <w:p w:rsidR="00E04A15" w:rsidRPr="002A4BC0" w:rsidRDefault="00E04A15" w:rsidP="00E04A15">
      <w:pPr>
        <w:jc w:val="center"/>
        <w:rPr>
          <w:b/>
        </w:rPr>
      </w:pPr>
    </w:p>
    <w:p w:rsidR="00E04A15" w:rsidRPr="0028669F" w:rsidRDefault="00DC6EEE" w:rsidP="00DC6EEE">
      <w:pPr>
        <w:jc w:val="center"/>
        <w:rPr>
          <w:b/>
          <w:sz w:val="22"/>
          <w:szCs w:val="22"/>
          <w:lang w:val="en-US"/>
        </w:rPr>
      </w:pPr>
      <w:r w:rsidRPr="0028669F">
        <w:rPr>
          <w:b/>
          <w:sz w:val="22"/>
          <w:szCs w:val="22"/>
        </w:rPr>
        <w:t>„Ремонт осветление гр.Габрово“</w:t>
      </w:r>
    </w:p>
    <w:p w:rsidR="00DC6EEE" w:rsidRPr="0028669F" w:rsidRDefault="00DC6EEE" w:rsidP="00DC6EEE">
      <w:pPr>
        <w:jc w:val="center"/>
        <w:rPr>
          <w:b/>
          <w:sz w:val="22"/>
          <w:szCs w:val="22"/>
          <w:lang w:val="en-US"/>
        </w:rPr>
      </w:pPr>
    </w:p>
    <w:p w:rsidR="00BF07C2" w:rsidRPr="0028669F" w:rsidRDefault="00BF07C2" w:rsidP="00CB1ACD">
      <w:pPr>
        <w:shd w:val="clear" w:color="auto" w:fill="FFFFFF"/>
        <w:ind w:firstLine="709"/>
        <w:jc w:val="both"/>
        <w:rPr>
          <w:b/>
        </w:rPr>
      </w:pPr>
      <w:r w:rsidRPr="0028669F">
        <w:t>Икономически най-изгодната оферта се определя въз основа на критерий за възлагане „оптимално съотношение качество/цена“ по чл. 70, ал. 2, т. 3 от ЗОП.</w:t>
      </w:r>
    </w:p>
    <w:p w:rsidR="00BF07C2" w:rsidRPr="0028669F" w:rsidRDefault="00BF07C2" w:rsidP="00BF07C2">
      <w:pPr>
        <w:spacing w:before="60" w:after="60"/>
        <w:jc w:val="both"/>
      </w:pPr>
      <w:r w:rsidRPr="0028669F">
        <w:t xml:space="preserve">     </w:t>
      </w:r>
      <w:r w:rsidRPr="0028669F">
        <w:tab/>
      </w:r>
      <w:r w:rsidR="00302FB7" w:rsidRPr="0028669F">
        <w:t xml:space="preserve">Класирането на </w:t>
      </w:r>
      <w:r w:rsidRPr="0028669F">
        <w:t xml:space="preserve">офертите се извършва в зависимост от комплексната оценка на  участника по методиката, която се формира като сбор от получените точки по отделните показатели за оценка след осредняването. </w:t>
      </w:r>
    </w:p>
    <w:p w:rsidR="00CB1ACD" w:rsidRPr="0028669F" w:rsidRDefault="00CB1ACD" w:rsidP="00CB1ACD">
      <w:pPr>
        <w:ind w:firstLine="357"/>
        <w:jc w:val="both"/>
        <w:rPr>
          <w:lang w:eastAsia="en-US"/>
        </w:rPr>
      </w:pPr>
    </w:p>
    <w:p w:rsidR="00CB1ACD" w:rsidRPr="0028669F" w:rsidRDefault="00CB1ACD" w:rsidP="00CB1ACD">
      <w:pPr>
        <w:jc w:val="both"/>
        <w:rPr>
          <w:bCs/>
          <w:lang w:eastAsia="en-US"/>
        </w:rPr>
      </w:pPr>
      <w:r w:rsidRPr="0028669F">
        <w:rPr>
          <w:bCs/>
          <w:lang w:eastAsia="en-US"/>
        </w:rPr>
        <w:tab/>
        <w:t xml:space="preserve">Критерият </w:t>
      </w:r>
      <w:r w:rsidRPr="0028669F">
        <w:rPr>
          <w:b/>
          <w:lang w:eastAsia="en-US"/>
        </w:rPr>
        <w:t>„Икономически най-изгодна оферта – оптимално съотношение качество/цена”</w:t>
      </w:r>
      <w:r w:rsidRPr="0028669F">
        <w:rPr>
          <w:bCs/>
          <w:lang w:eastAsia="en-US"/>
        </w:rPr>
        <w:t xml:space="preserve"> включва следните показатели и тежести в комплексната оценка на офертите:</w:t>
      </w:r>
    </w:p>
    <w:p w:rsidR="00C944C6" w:rsidRPr="0028669F" w:rsidRDefault="00C944C6" w:rsidP="00CB1ACD">
      <w:pPr>
        <w:jc w:val="both"/>
        <w:rPr>
          <w:bCs/>
          <w:lang w:eastAsia="en-US"/>
        </w:rPr>
      </w:pPr>
    </w:p>
    <w:p w:rsidR="00CB1ACD" w:rsidRPr="0028669F" w:rsidRDefault="00CB1ACD" w:rsidP="00C944C6">
      <w:pPr>
        <w:pStyle w:val="ListParagraph"/>
        <w:numPr>
          <w:ilvl w:val="0"/>
          <w:numId w:val="7"/>
        </w:numPr>
        <w:jc w:val="both"/>
        <w:rPr>
          <w:b/>
          <w:caps/>
          <w:lang w:eastAsia="en-US"/>
        </w:rPr>
      </w:pPr>
      <w:r w:rsidRPr="0028669F">
        <w:rPr>
          <w:b/>
          <w:caps/>
          <w:lang w:val="en-US" w:eastAsia="en-US"/>
        </w:rPr>
        <w:t xml:space="preserve"> </w:t>
      </w:r>
      <w:r w:rsidRPr="0028669F">
        <w:rPr>
          <w:b/>
          <w:caps/>
          <w:lang w:eastAsia="en-US"/>
        </w:rPr>
        <w:t>Показатели за формиране на комплексната оценка</w:t>
      </w:r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Показателите, формиращи комплексната оценка на офертите са:</w:t>
      </w:r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(</w:t>
      </w:r>
      <w:r w:rsidRPr="0028669F">
        <w:rPr>
          <w:b/>
          <w:lang w:eastAsia="en-US"/>
        </w:rPr>
        <w:t>ТП</w:t>
      </w:r>
      <w:r w:rsidRPr="0028669F">
        <w:rPr>
          <w:lang w:eastAsia="en-US"/>
        </w:rPr>
        <w:t>) – техническа оценка;</w:t>
      </w:r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(</w:t>
      </w:r>
      <w:r w:rsidRPr="0028669F">
        <w:rPr>
          <w:b/>
          <w:lang w:eastAsia="en-US"/>
        </w:rPr>
        <w:t>ПЦ</w:t>
      </w:r>
      <w:r w:rsidRPr="0028669F">
        <w:rPr>
          <w:lang w:eastAsia="en-US"/>
        </w:rPr>
        <w:t>) – предлагана цена</w:t>
      </w:r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Комплексната оценка (КО) на офертата на участника се изчислява по формулата:</w:t>
      </w:r>
    </w:p>
    <w:p w:rsidR="00CB1ACD" w:rsidRPr="0028669F" w:rsidRDefault="00CB1ACD" w:rsidP="00CB1ACD">
      <w:pPr>
        <w:rPr>
          <w:b/>
          <w:lang w:eastAsia="en-US"/>
        </w:rPr>
      </w:pPr>
      <w:r w:rsidRPr="0028669F">
        <w:rPr>
          <w:b/>
          <w:lang w:eastAsia="en-US"/>
        </w:rPr>
        <w:t>(КО) = (ТП) + (ПЦ)</w:t>
      </w:r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Участникът, събрал най-много точки на Комплексната оценка (</w:t>
      </w:r>
      <w:r w:rsidRPr="0028669F">
        <w:rPr>
          <w:b/>
          <w:lang w:eastAsia="en-US"/>
        </w:rPr>
        <w:t>КО</w:t>
      </w:r>
      <w:r w:rsidRPr="0028669F">
        <w:rPr>
          <w:lang w:eastAsia="en-US"/>
        </w:rPr>
        <w:t>) се класира на първо място.</w:t>
      </w:r>
    </w:p>
    <w:p w:rsidR="00C944C6" w:rsidRPr="0028669F" w:rsidRDefault="00C944C6" w:rsidP="00CB1ACD">
      <w:pPr>
        <w:jc w:val="both"/>
        <w:rPr>
          <w:lang w:eastAsia="en-US"/>
        </w:rPr>
      </w:pPr>
    </w:p>
    <w:p w:rsidR="00CB1ACD" w:rsidRPr="0028669F" w:rsidRDefault="00CB1ACD" w:rsidP="00C944C6">
      <w:pPr>
        <w:pStyle w:val="ListParagraph"/>
        <w:numPr>
          <w:ilvl w:val="0"/>
          <w:numId w:val="7"/>
        </w:numPr>
        <w:jc w:val="both"/>
        <w:rPr>
          <w:b/>
          <w:caps/>
          <w:lang w:eastAsia="en-US"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 w:rsidRPr="0028669F">
        <w:rPr>
          <w:b/>
          <w:caps/>
          <w:lang w:eastAsia="en-US"/>
        </w:rPr>
        <w:t>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(</w:t>
      </w:r>
      <w:r w:rsidRPr="0028669F">
        <w:rPr>
          <w:b/>
          <w:lang w:eastAsia="en-US"/>
        </w:rPr>
        <w:t>ТП</w:t>
      </w:r>
      <w:r w:rsidRPr="0028669F">
        <w:rPr>
          <w:lang w:eastAsia="en-US"/>
        </w:rPr>
        <w:t xml:space="preserve">) = </w:t>
      </w:r>
      <w:r w:rsidR="009740B8" w:rsidRPr="0028669F">
        <w:rPr>
          <w:lang w:eastAsia="en-US"/>
        </w:rPr>
        <w:t xml:space="preserve"> </w:t>
      </w:r>
      <w:r w:rsidR="002D28AD" w:rsidRPr="0028669F">
        <w:rPr>
          <w:b/>
          <w:lang w:val="en-US" w:eastAsia="en-US"/>
        </w:rPr>
        <w:t>3</w:t>
      </w:r>
      <w:r w:rsidRPr="0028669F">
        <w:rPr>
          <w:b/>
          <w:lang w:eastAsia="en-US"/>
        </w:rPr>
        <w:t>0</w:t>
      </w:r>
      <w:r w:rsidRPr="0028669F">
        <w:rPr>
          <w:lang w:eastAsia="en-US"/>
        </w:rPr>
        <w:t xml:space="preserve"> точки, максимална стойност</w:t>
      </w:r>
    </w:p>
    <w:p w:rsidR="00CB1ACD" w:rsidRPr="0028669F" w:rsidRDefault="00CB1ACD" w:rsidP="00CB1ACD">
      <w:pPr>
        <w:jc w:val="both"/>
        <w:rPr>
          <w:lang w:eastAsia="en-US"/>
        </w:rPr>
      </w:pPr>
      <w:r w:rsidRPr="0028669F">
        <w:rPr>
          <w:lang w:eastAsia="en-US"/>
        </w:rPr>
        <w:t>(</w:t>
      </w:r>
      <w:r w:rsidRPr="0028669F">
        <w:rPr>
          <w:b/>
          <w:lang w:eastAsia="en-US"/>
        </w:rPr>
        <w:t>ПЦ</w:t>
      </w:r>
      <w:r w:rsidR="009740B8" w:rsidRPr="0028669F">
        <w:rPr>
          <w:lang w:eastAsia="en-US"/>
        </w:rPr>
        <w:t xml:space="preserve">) = </w:t>
      </w:r>
      <w:r w:rsidR="002D28AD" w:rsidRPr="0028669F">
        <w:rPr>
          <w:b/>
          <w:lang w:val="en-US" w:eastAsia="en-US"/>
        </w:rPr>
        <w:t>7</w:t>
      </w:r>
      <w:r w:rsidRPr="0028669F">
        <w:rPr>
          <w:b/>
          <w:lang w:eastAsia="en-US"/>
        </w:rPr>
        <w:t>0</w:t>
      </w:r>
      <w:r w:rsidRPr="0028669F">
        <w:rPr>
          <w:lang w:eastAsia="en-US"/>
        </w:rPr>
        <w:t xml:space="preserve"> точки, максимална стойност</w:t>
      </w:r>
    </w:p>
    <w:p w:rsidR="00C944C6" w:rsidRPr="0028669F" w:rsidRDefault="00C944C6" w:rsidP="00CB1ACD">
      <w:pPr>
        <w:jc w:val="both"/>
        <w:rPr>
          <w:lang w:eastAsia="en-US"/>
        </w:rPr>
      </w:pPr>
    </w:p>
    <w:p w:rsidR="00CB1ACD" w:rsidRPr="0028669F" w:rsidRDefault="00CB1ACD" w:rsidP="00C944C6">
      <w:pPr>
        <w:pStyle w:val="ListParagraph"/>
        <w:numPr>
          <w:ilvl w:val="0"/>
          <w:numId w:val="7"/>
        </w:numPr>
        <w:jc w:val="both"/>
        <w:rPr>
          <w:b/>
          <w:lang w:eastAsia="en-US"/>
        </w:rPr>
      </w:pPr>
      <w:bookmarkStart w:id="5" w:name="_Toc251850039"/>
      <w:bookmarkStart w:id="6" w:name="_Toc252176821"/>
      <w:bookmarkStart w:id="7" w:name="_Toc254010968"/>
      <w:bookmarkStart w:id="8" w:name="_Toc254260462"/>
      <w:bookmarkStart w:id="9" w:name="_Toc254344091"/>
      <w:bookmarkStart w:id="10" w:name="_Toc255992773"/>
      <w:bookmarkStart w:id="11" w:name="_Toc255993059"/>
      <w:bookmarkStart w:id="12" w:name="_Toc282686218"/>
      <w:r w:rsidRPr="0028669F">
        <w:rPr>
          <w:b/>
          <w:lang w:eastAsia="en-US"/>
        </w:rPr>
        <w:t>МЕТОДИКА ЗА ОПРЕДЕЛЯНЕ НА ОЦЕНКАТА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CB1ACD" w:rsidRPr="0028669F" w:rsidRDefault="00CB1ACD" w:rsidP="00CB1ACD">
      <w:pPr>
        <w:jc w:val="both"/>
        <w:rPr>
          <w:lang w:eastAsia="en-US"/>
        </w:rPr>
      </w:pPr>
      <w:bookmarkStart w:id="13" w:name="_Toc252176822"/>
      <w:bookmarkStart w:id="14" w:name="_Toc254260463"/>
      <w:bookmarkStart w:id="15" w:name="_Toc255992774"/>
      <w:bookmarkStart w:id="16" w:name="_Toc255993060"/>
      <w:bookmarkStart w:id="17" w:name="_Toc282686219"/>
      <w:r w:rsidRPr="0028669F">
        <w:rPr>
          <w:lang w:eastAsia="en-US"/>
        </w:rPr>
        <w:t>Определяне на оценката по всеки показател:</w:t>
      </w:r>
      <w:bookmarkEnd w:id="13"/>
      <w:bookmarkEnd w:id="14"/>
      <w:bookmarkEnd w:id="15"/>
      <w:bookmarkEnd w:id="16"/>
      <w:bookmarkEnd w:id="17"/>
    </w:p>
    <w:p w:rsidR="00C944C6" w:rsidRPr="0028669F" w:rsidRDefault="00C944C6" w:rsidP="00CB1ACD">
      <w:pPr>
        <w:jc w:val="both"/>
        <w:rPr>
          <w:lang w:eastAsia="en-US"/>
        </w:rPr>
      </w:pPr>
    </w:p>
    <w:p w:rsidR="00CB1ACD" w:rsidRPr="0028669F" w:rsidRDefault="00CB1ACD" w:rsidP="00C944C6">
      <w:pPr>
        <w:ind w:firstLine="426"/>
        <w:jc w:val="both"/>
        <w:rPr>
          <w:b/>
          <w:lang w:eastAsia="en-US"/>
        </w:rPr>
      </w:pPr>
      <w:r w:rsidRPr="0028669F">
        <w:rPr>
          <w:rFonts w:eastAsia="Arial Unicode MS"/>
          <w:b/>
          <w:lang w:eastAsia="ko-KR"/>
        </w:rPr>
        <w:t>3</w:t>
      </w:r>
      <w:r w:rsidR="00C944C6" w:rsidRPr="0028669F">
        <w:rPr>
          <w:b/>
          <w:lang w:eastAsia="en-US"/>
        </w:rPr>
        <w:t>.1</w:t>
      </w:r>
      <w:r w:rsidRPr="0028669F">
        <w:rPr>
          <w:b/>
          <w:lang w:eastAsia="en-US"/>
        </w:rPr>
        <w:t xml:space="preserve">. (ТП) Техническа оценка (максимален брой </w:t>
      </w:r>
      <w:r w:rsidR="009740B8" w:rsidRPr="0028669F">
        <w:rPr>
          <w:b/>
          <w:lang w:val="en-US" w:eastAsia="en-US"/>
        </w:rPr>
        <w:t>3</w:t>
      </w:r>
      <w:r w:rsidRPr="0028669F">
        <w:rPr>
          <w:b/>
          <w:lang w:eastAsia="en-US"/>
        </w:rPr>
        <w:t>0 точки)</w:t>
      </w:r>
    </w:p>
    <w:p w:rsidR="00CB1ACD" w:rsidRPr="0028669F" w:rsidRDefault="00CB1ACD" w:rsidP="00CB1ACD">
      <w:pPr>
        <w:tabs>
          <w:tab w:val="left" w:pos="360"/>
          <w:tab w:val="left" w:pos="1069"/>
        </w:tabs>
        <w:ind w:firstLine="720"/>
        <w:jc w:val="both"/>
        <w:rPr>
          <w:szCs w:val="20"/>
          <w:lang w:val="en-GB" w:eastAsia="en-US"/>
        </w:rPr>
      </w:pPr>
    </w:p>
    <w:p w:rsidR="00CB1ACD" w:rsidRPr="0028669F" w:rsidRDefault="008B556D" w:rsidP="00CE2E5E">
      <w:pPr>
        <w:tabs>
          <w:tab w:val="left" w:pos="360"/>
          <w:tab w:val="left" w:pos="851"/>
        </w:tabs>
        <w:jc w:val="both"/>
        <w:rPr>
          <w:b/>
          <w:lang w:eastAsia="en-US"/>
        </w:rPr>
      </w:pPr>
      <w:r w:rsidRPr="0028669F">
        <w:rPr>
          <w:szCs w:val="20"/>
          <w:lang w:eastAsia="en-US"/>
        </w:rPr>
        <w:tab/>
      </w:r>
      <w:r w:rsidR="00CB1ACD" w:rsidRPr="0028669F">
        <w:rPr>
          <w:b/>
          <w:lang w:eastAsia="en-US"/>
        </w:rPr>
        <w:t>Техническата оценка (ТП) се пресмята по следната формула:</w:t>
      </w:r>
    </w:p>
    <w:p w:rsidR="00CB1ACD" w:rsidRPr="0028669F" w:rsidRDefault="00CB1ACD" w:rsidP="00CE2E5E">
      <w:pPr>
        <w:autoSpaceDE w:val="0"/>
        <w:autoSpaceDN w:val="0"/>
        <w:adjustRightInd w:val="0"/>
        <w:ind w:firstLine="708"/>
        <w:jc w:val="both"/>
        <w:rPr>
          <w:lang w:val="en-US" w:eastAsia="en-US"/>
        </w:rPr>
      </w:pPr>
      <w:r w:rsidRPr="0028669F">
        <w:rPr>
          <w:b/>
          <w:lang w:eastAsia="en-US"/>
        </w:rPr>
        <w:t>ТП</w:t>
      </w:r>
      <w:r w:rsidRPr="0028669F">
        <w:rPr>
          <w:b/>
          <w:lang w:val="ru-RU" w:eastAsia="en-US"/>
        </w:rPr>
        <w:t xml:space="preserve">= </w:t>
      </w:r>
      <w:r w:rsidRPr="0028669F">
        <w:rPr>
          <w:b/>
          <w:lang w:eastAsia="en-US"/>
        </w:rPr>
        <w:t xml:space="preserve">Т1+Т2, </w:t>
      </w:r>
      <w:r w:rsidRPr="0028669F">
        <w:rPr>
          <w:lang w:eastAsia="en-US"/>
        </w:rPr>
        <w:t xml:space="preserve"> с обща максимална стойност </w:t>
      </w:r>
      <w:r w:rsidR="009740B8" w:rsidRPr="0028669F">
        <w:rPr>
          <w:b/>
          <w:lang w:eastAsia="en-US"/>
        </w:rPr>
        <w:t>3</w:t>
      </w:r>
      <w:r w:rsidRPr="0028669F">
        <w:rPr>
          <w:b/>
          <w:lang w:eastAsia="en-US"/>
        </w:rPr>
        <w:t>0 точки</w:t>
      </w:r>
      <w:r w:rsidRPr="0028669F">
        <w:rPr>
          <w:lang w:eastAsia="en-US"/>
        </w:rPr>
        <w:t>, където:</w:t>
      </w:r>
      <w:r w:rsidR="00CE2E5E" w:rsidRPr="0028669F">
        <w:rPr>
          <w:lang w:val="en-US" w:eastAsia="en-US"/>
        </w:rPr>
        <w:t xml:space="preserve"> </w:t>
      </w:r>
    </w:p>
    <w:p w:rsidR="00CB1ACD" w:rsidRPr="0028669F" w:rsidRDefault="00CB1ACD" w:rsidP="00CB1ACD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:rsidR="00A806F8" w:rsidRPr="0028669F" w:rsidRDefault="00CB1ACD" w:rsidP="00CB1ACD">
      <w:pPr>
        <w:jc w:val="both"/>
        <w:rPr>
          <w:b/>
          <w:u w:val="single"/>
          <w:lang w:eastAsia="en-US"/>
        </w:rPr>
      </w:pPr>
      <w:r w:rsidRPr="0028669F">
        <w:rPr>
          <w:b/>
          <w:u w:val="single"/>
          <w:lang w:eastAsia="en-US"/>
        </w:rPr>
        <w:t xml:space="preserve">Т1 – Срок за изпълнение </w:t>
      </w:r>
    </w:p>
    <w:p w:rsidR="00CB1ACD" w:rsidRPr="0028669F" w:rsidRDefault="00CB1ACD" w:rsidP="00CB1ACD">
      <w:pPr>
        <w:jc w:val="both"/>
      </w:pPr>
      <w:r w:rsidRPr="0028669F">
        <w:rPr>
          <w:b/>
          <w:iCs/>
          <w:u w:val="single"/>
          <w:lang w:eastAsia="en-US"/>
        </w:rPr>
        <w:t xml:space="preserve">Максимален брой точки </w:t>
      </w:r>
      <w:r w:rsidR="009740B8" w:rsidRPr="0028669F">
        <w:rPr>
          <w:b/>
          <w:iCs/>
          <w:u w:val="single"/>
          <w:lang w:val="en-US" w:eastAsia="en-US"/>
        </w:rPr>
        <w:t>2</w:t>
      </w:r>
      <w:r w:rsidRPr="0028669F">
        <w:rPr>
          <w:b/>
          <w:iCs/>
          <w:u w:val="single"/>
          <w:lang w:eastAsia="en-US"/>
        </w:rPr>
        <w:t>0</w:t>
      </w:r>
      <w:r w:rsidRPr="0028669F">
        <w:rPr>
          <w:b/>
          <w:iCs/>
          <w:lang w:eastAsia="en-US"/>
        </w:rPr>
        <w:t xml:space="preserve"> </w:t>
      </w:r>
      <w:r w:rsidRPr="0028669F">
        <w:t>получава офертата, с предложен най-к</w:t>
      </w:r>
      <w:r w:rsidR="00550901" w:rsidRPr="0028669F">
        <w:t>ратък</w:t>
      </w:r>
      <w:r w:rsidRPr="0028669F">
        <w:t xml:space="preserve"> срок за изпълнение в посочените граници, съгласно </w:t>
      </w:r>
      <w:r w:rsidRPr="0028669F">
        <w:rPr>
          <w:szCs w:val="20"/>
          <w:lang w:eastAsia="en-US"/>
        </w:rPr>
        <w:t>Предложението за изпълнение</w:t>
      </w:r>
      <w:r w:rsidRPr="0028669F">
        <w:t>;</w:t>
      </w:r>
    </w:p>
    <w:p w:rsidR="00A806F8" w:rsidRPr="0028669F" w:rsidRDefault="00CE18B6" w:rsidP="00A806F8">
      <w:pPr>
        <w:snapToGrid w:val="0"/>
        <w:jc w:val="both"/>
        <w:rPr>
          <w:b/>
          <w:i/>
          <w:u w:val="single"/>
          <w:lang w:eastAsia="en-US"/>
        </w:rPr>
      </w:pPr>
      <w:r w:rsidRPr="0028669F">
        <w:rPr>
          <w:lang w:eastAsia="en-US"/>
        </w:rPr>
        <w:t>Оценява се предложения от участника срок за изпълнение на поръчката в календарни дни, съобразно условията, посочени в техническото предложение</w:t>
      </w:r>
      <w:r w:rsidR="00A806F8" w:rsidRPr="0028669F">
        <w:rPr>
          <w:lang w:val="en-US" w:eastAsia="en-US"/>
        </w:rPr>
        <w:t xml:space="preserve"> - </w:t>
      </w:r>
      <w:r w:rsidR="00A806F8" w:rsidRPr="0028669F">
        <w:rPr>
          <w:b/>
          <w:i/>
          <w:u w:val="single"/>
          <w:lang w:eastAsia="en-US"/>
        </w:rPr>
        <w:t>минимум</w:t>
      </w:r>
      <w:r w:rsidR="00A806F8" w:rsidRPr="0028669F">
        <w:rPr>
          <w:b/>
          <w:i/>
          <w:u w:val="single"/>
        </w:rPr>
        <w:t xml:space="preserve"> </w:t>
      </w:r>
      <w:r w:rsidR="00A806F8" w:rsidRPr="0028669F">
        <w:rPr>
          <w:b/>
          <w:i/>
          <w:u w:val="single"/>
          <w:lang w:val="en-US"/>
        </w:rPr>
        <w:t>30</w:t>
      </w:r>
      <w:r w:rsidR="00A806F8" w:rsidRPr="0028669F">
        <w:rPr>
          <w:b/>
          <w:i/>
          <w:u w:val="single"/>
        </w:rPr>
        <w:t xml:space="preserve"> календарни дни,</w:t>
      </w:r>
      <w:r w:rsidR="00A806F8" w:rsidRPr="0028669F">
        <w:rPr>
          <w:b/>
          <w:i/>
          <w:u w:val="single"/>
          <w:lang w:eastAsia="en-US"/>
        </w:rPr>
        <w:t xml:space="preserve"> максимум</w:t>
      </w:r>
      <w:r w:rsidR="00A806F8" w:rsidRPr="0028669F">
        <w:rPr>
          <w:b/>
          <w:i/>
          <w:u w:val="single"/>
        </w:rPr>
        <w:t xml:space="preserve"> 1</w:t>
      </w:r>
      <w:r w:rsidR="00E4746B" w:rsidRPr="0028669F">
        <w:rPr>
          <w:b/>
          <w:i/>
          <w:u w:val="single"/>
          <w:lang w:val="en-US"/>
        </w:rPr>
        <w:t>50</w:t>
      </w:r>
      <w:r w:rsidR="00A806F8" w:rsidRPr="0028669F">
        <w:rPr>
          <w:b/>
          <w:i/>
          <w:u w:val="single"/>
        </w:rPr>
        <w:t xml:space="preserve"> календарни дни</w:t>
      </w:r>
      <w:r w:rsidR="00F505EA" w:rsidRPr="0028669F">
        <w:rPr>
          <w:b/>
          <w:i/>
          <w:u w:val="single"/>
        </w:rPr>
        <w:t>,</w:t>
      </w:r>
      <w:r w:rsidR="00A806F8" w:rsidRPr="0028669F">
        <w:rPr>
          <w:b/>
          <w:i/>
          <w:u w:val="single"/>
          <w:lang w:eastAsia="en-US"/>
        </w:rPr>
        <w:t xml:space="preserve"> но не по-късно от </w:t>
      </w:r>
      <w:r w:rsidR="00A806F8" w:rsidRPr="0028669F">
        <w:rPr>
          <w:b/>
          <w:u w:val="single"/>
          <w:lang w:eastAsia="en-US"/>
        </w:rPr>
        <w:t>31.10.2018 г.</w:t>
      </w:r>
      <w:r w:rsidR="00A806F8" w:rsidRPr="0028669F">
        <w:rPr>
          <w:b/>
          <w:i/>
          <w:u w:val="single"/>
          <w:lang w:eastAsia="en-US"/>
        </w:rPr>
        <w:t xml:space="preserve"> </w:t>
      </w:r>
    </w:p>
    <w:p w:rsidR="00CE18B6" w:rsidRPr="0028669F" w:rsidRDefault="00CE18B6" w:rsidP="00CE2E5E">
      <w:pPr>
        <w:jc w:val="both"/>
        <w:rPr>
          <w:lang w:eastAsia="en-US"/>
        </w:rPr>
      </w:pPr>
    </w:p>
    <w:p w:rsidR="00CE18B6" w:rsidRPr="0028669F" w:rsidRDefault="00CE18B6" w:rsidP="00CE2E5E">
      <w:pPr>
        <w:autoSpaceDE w:val="0"/>
        <w:autoSpaceDN w:val="0"/>
        <w:adjustRightInd w:val="0"/>
        <w:jc w:val="both"/>
        <w:rPr>
          <w:lang w:eastAsia="en-US"/>
        </w:rPr>
      </w:pPr>
      <w:r w:rsidRPr="0028669F">
        <w:rPr>
          <w:lang w:eastAsia="en-US"/>
        </w:rPr>
        <w:t>Оценката по този показател се формира, като най-краткия</w:t>
      </w:r>
      <w:r w:rsidR="00F505EA" w:rsidRPr="0028669F">
        <w:rPr>
          <w:lang w:eastAsia="en-US"/>
        </w:rPr>
        <w:t>т</w:t>
      </w:r>
      <w:r w:rsidRPr="0028669F">
        <w:rPr>
          <w:lang w:eastAsia="en-US"/>
        </w:rPr>
        <w:t xml:space="preserve"> предложен срок за изпълнение </w:t>
      </w:r>
      <w:r w:rsidR="00CE2E5E" w:rsidRPr="0028669F">
        <w:rPr>
          <w:lang w:val="en-US" w:eastAsia="en-US"/>
        </w:rPr>
        <w:t xml:space="preserve">                        </w:t>
      </w:r>
      <w:r w:rsidR="00302FB7" w:rsidRPr="0028669F">
        <w:rPr>
          <w:lang w:eastAsia="en-US"/>
        </w:rPr>
        <w:t xml:space="preserve">(в календарни дни) от участник </w:t>
      </w:r>
      <w:r w:rsidRPr="0028669F">
        <w:rPr>
          <w:lang w:eastAsia="en-US"/>
        </w:rPr>
        <w:t xml:space="preserve">се разделя на срока, предложен от съответния участник, който се оценява и резултатът се умножава по </w:t>
      </w:r>
      <w:r w:rsidR="009740B8" w:rsidRPr="0028669F">
        <w:rPr>
          <w:lang w:val="en-US" w:eastAsia="en-US"/>
        </w:rPr>
        <w:t>2</w:t>
      </w:r>
      <w:r w:rsidRPr="0028669F">
        <w:rPr>
          <w:lang w:eastAsia="en-US"/>
        </w:rPr>
        <w:t>0 (</w:t>
      </w:r>
      <w:r w:rsidR="009740B8" w:rsidRPr="0028669F">
        <w:rPr>
          <w:lang w:eastAsia="en-US"/>
        </w:rPr>
        <w:t>два</w:t>
      </w:r>
      <w:r w:rsidRPr="0028669F">
        <w:rPr>
          <w:lang w:eastAsia="en-US"/>
        </w:rPr>
        <w:t>десет точки).</w:t>
      </w:r>
    </w:p>
    <w:p w:rsidR="00CE18B6" w:rsidRPr="0028669F" w:rsidRDefault="00CE18B6" w:rsidP="00CE18B6">
      <w:pPr>
        <w:autoSpaceDE w:val="0"/>
        <w:autoSpaceDN w:val="0"/>
        <w:adjustRightInd w:val="0"/>
        <w:rPr>
          <w:b/>
          <w:lang w:eastAsia="en-US"/>
        </w:rPr>
      </w:pPr>
      <w:r w:rsidRPr="0028669F">
        <w:rPr>
          <w:b/>
          <w:lang w:eastAsia="en-US"/>
        </w:rPr>
        <w:t xml:space="preserve">Т1 = (Ср min / Ср n ) </w:t>
      </w:r>
      <w:r w:rsidR="00C944C6" w:rsidRPr="0028669F">
        <w:rPr>
          <w:b/>
          <w:lang w:eastAsia="en-US"/>
        </w:rPr>
        <w:t>х</w:t>
      </w:r>
      <w:r w:rsidR="009740B8" w:rsidRPr="0028669F">
        <w:rPr>
          <w:b/>
          <w:lang w:eastAsia="en-US"/>
        </w:rPr>
        <w:t>2</w:t>
      </w:r>
      <w:r w:rsidRPr="0028669F">
        <w:rPr>
          <w:b/>
          <w:lang w:eastAsia="en-US"/>
        </w:rPr>
        <w:t xml:space="preserve">0, </w:t>
      </w:r>
      <w:r w:rsidRPr="0028669F">
        <w:rPr>
          <w:lang w:eastAsia="en-US"/>
        </w:rPr>
        <w:t>където:</w:t>
      </w:r>
    </w:p>
    <w:p w:rsidR="00CE18B6" w:rsidRPr="00CE18B6" w:rsidRDefault="00CE18B6" w:rsidP="00CE18B6">
      <w:pPr>
        <w:autoSpaceDE w:val="0"/>
        <w:autoSpaceDN w:val="0"/>
        <w:adjustRightInd w:val="0"/>
        <w:rPr>
          <w:lang w:eastAsia="en-US"/>
        </w:rPr>
      </w:pPr>
      <w:r w:rsidRPr="00CE18B6">
        <w:rPr>
          <w:b/>
          <w:lang w:eastAsia="en-US"/>
        </w:rPr>
        <w:t>Ср min</w:t>
      </w:r>
      <w:r w:rsidRPr="00CE18B6">
        <w:rPr>
          <w:lang w:eastAsia="en-US"/>
        </w:rPr>
        <w:t xml:space="preserve"> е най-кратък предложен срок за изпълнение от участник</w:t>
      </w:r>
    </w:p>
    <w:p w:rsidR="00CE18B6" w:rsidRPr="00CE18B6" w:rsidRDefault="00CE18B6" w:rsidP="00CE18B6">
      <w:pPr>
        <w:autoSpaceDE w:val="0"/>
        <w:autoSpaceDN w:val="0"/>
        <w:adjustRightInd w:val="0"/>
        <w:rPr>
          <w:lang w:eastAsia="en-US"/>
        </w:rPr>
      </w:pPr>
      <w:r w:rsidRPr="00CE18B6">
        <w:rPr>
          <w:b/>
          <w:lang w:eastAsia="en-US"/>
        </w:rPr>
        <w:t>Ср n</w:t>
      </w:r>
      <w:r w:rsidRPr="00CE18B6">
        <w:rPr>
          <w:lang w:eastAsia="en-US"/>
        </w:rPr>
        <w:t xml:space="preserve"> е срок за изпълнение, предложен от конкретен участник</w:t>
      </w:r>
    </w:p>
    <w:p w:rsidR="00CE18B6" w:rsidRDefault="00CE18B6" w:rsidP="00CB1ACD">
      <w:pPr>
        <w:widowControl w:val="0"/>
        <w:tabs>
          <w:tab w:val="num" w:pos="1710"/>
        </w:tabs>
        <w:autoSpaceDE w:val="0"/>
        <w:autoSpaceDN w:val="0"/>
        <w:adjustRightInd w:val="0"/>
        <w:jc w:val="both"/>
      </w:pPr>
    </w:p>
    <w:p w:rsidR="00CB1ACD" w:rsidRDefault="00CB1ACD" w:rsidP="00CB1ACD">
      <w:pPr>
        <w:jc w:val="both"/>
        <w:rPr>
          <w:lang w:val="en-US"/>
        </w:rPr>
      </w:pPr>
      <w:r w:rsidRPr="00CB1ACD">
        <w:rPr>
          <w:b/>
          <w:u w:val="single"/>
          <w:lang w:eastAsia="en-US"/>
        </w:rPr>
        <w:t xml:space="preserve">Т2 - </w:t>
      </w:r>
      <w:r w:rsidR="007542C1" w:rsidRPr="007542C1">
        <w:rPr>
          <w:b/>
          <w:u w:val="single"/>
          <w:lang w:eastAsia="en-US"/>
        </w:rPr>
        <w:t>Гаранционен срок за преносни и разпределителни проводи (мрежи) и съоръжения към тях на техническата инфраструктура</w:t>
      </w:r>
      <w:r w:rsidR="007542C1" w:rsidRPr="00CB1ACD">
        <w:rPr>
          <w:b/>
          <w:iCs/>
          <w:u w:val="single"/>
          <w:lang w:eastAsia="en-US"/>
        </w:rPr>
        <w:t xml:space="preserve"> </w:t>
      </w:r>
      <w:r w:rsidRPr="00CB1ACD">
        <w:rPr>
          <w:b/>
          <w:iCs/>
          <w:u w:val="single"/>
          <w:lang w:eastAsia="en-US"/>
        </w:rPr>
        <w:t>-</w:t>
      </w:r>
      <w:r w:rsidRPr="00CB1ACD">
        <w:rPr>
          <w:b/>
          <w:iCs/>
          <w:lang w:eastAsia="en-US"/>
        </w:rPr>
        <w:t xml:space="preserve"> </w:t>
      </w:r>
      <w:r w:rsidRPr="00CB1ACD">
        <w:rPr>
          <w:b/>
          <w:iCs/>
          <w:u w:val="single"/>
          <w:lang w:eastAsia="en-US"/>
        </w:rPr>
        <w:t>максимален брой точки 10</w:t>
      </w:r>
      <w:r w:rsidRPr="00CB1ACD">
        <w:rPr>
          <w:b/>
          <w:iCs/>
          <w:lang w:eastAsia="en-US"/>
        </w:rPr>
        <w:t xml:space="preserve"> </w:t>
      </w:r>
      <w:r w:rsidRPr="00CB1ACD">
        <w:t>получава офертата, с предложен най-дълъг гаранционен срок, съгласно Техническото предложение;</w:t>
      </w:r>
    </w:p>
    <w:p w:rsidR="00CE2E5E" w:rsidRPr="00CE2E5E" w:rsidRDefault="00CE2E5E" w:rsidP="00CB1ACD">
      <w:pPr>
        <w:jc w:val="both"/>
        <w:rPr>
          <w:b/>
          <w:iCs/>
          <w:u w:val="single"/>
          <w:lang w:val="en-US" w:eastAsia="en-US"/>
        </w:rPr>
      </w:pPr>
    </w:p>
    <w:p w:rsidR="00CE2E5E" w:rsidRPr="002E3552" w:rsidRDefault="00CE2E5E" w:rsidP="00CE2E5E">
      <w:pPr>
        <w:snapToGrid w:val="0"/>
        <w:jc w:val="both"/>
        <w:rPr>
          <w:b/>
          <w:i/>
          <w:u w:val="single"/>
          <w:lang w:eastAsia="en-US"/>
        </w:rPr>
      </w:pPr>
      <w:r w:rsidRPr="002E3552">
        <w:rPr>
          <w:b/>
          <w:i/>
          <w:lang w:eastAsia="en-US"/>
        </w:rPr>
        <w:t xml:space="preserve">Оценява се гаранционен срок в месеци на изпълнените СМР, </w:t>
      </w:r>
      <w:r w:rsidRPr="002E3552">
        <w:rPr>
          <w:b/>
          <w:i/>
          <w:u w:val="single"/>
          <w:lang w:eastAsia="en-US"/>
        </w:rPr>
        <w:t>минимум</w:t>
      </w:r>
      <w:r w:rsidRPr="002E3552">
        <w:rPr>
          <w:b/>
          <w:i/>
          <w:u w:val="single"/>
        </w:rPr>
        <w:t xml:space="preserve"> </w:t>
      </w:r>
      <w:r w:rsidR="006670D2" w:rsidRPr="002E3552">
        <w:rPr>
          <w:b/>
          <w:i/>
          <w:u w:val="single"/>
          <w:lang w:val="en-US"/>
        </w:rPr>
        <w:t>96</w:t>
      </w:r>
      <w:r w:rsidRPr="002E3552">
        <w:rPr>
          <w:b/>
          <w:i/>
          <w:u w:val="single"/>
        </w:rPr>
        <w:t xml:space="preserve"> </w:t>
      </w:r>
      <w:proofErr w:type="spellStart"/>
      <w:r w:rsidRPr="002E3552">
        <w:rPr>
          <w:b/>
          <w:i/>
          <w:u w:val="single"/>
          <w:lang w:val="ru-RU"/>
        </w:rPr>
        <w:t>месеца</w:t>
      </w:r>
      <w:proofErr w:type="spellEnd"/>
      <w:r w:rsidRPr="002E3552">
        <w:rPr>
          <w:b/>
          <w:i/>
          <w:u w:val="single"/>
          <w:lang w:eastAsia="en-US"/>
        </w:rPr>
        <w:t xml:space="preserve"> но не повече от </w:t>
      </w:r>
      <w:r w:rsidR="006670D2" w:rsidRPr="002E3552">
        <w:rPr>
          <w:b/>
          <w:i/>
          <w:u w:val="single"/>
          <w:lang w:val="en-US" w:eastAsia="en-US"/>
        </w:rPr>
        <w:t>144</w:t>
      </w:r>
      <w:r w:rsidRPr="002E3552">
        <w:rPr>
          <w:b/>
          <w:i/>
          <w:u w:val="single"/>
          <w:lang w:eastAsia="en-US"/>
        </w:rPr>
        <w:t xml:space="preserve"> месеца.</w:t>
      </w:r>
    </w:p>
    <w:p w:rsidR="00CE2E5E" w:rsidRDefault="00CE2E5E" w:rsidP="00CB1ACD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val="en-US"/>
        </w:rPr>
      </w:pPr>
    </w:p>
    <w:p w:rsidR="00CB1ACD" w:rsidRPr="00CB1ACD" w:rsidRDefault="00CB1ACD" w:rsidP="00CB1ACD">
      <w:pPr>
        <w:widowControl w:val="0"/>
        <w:tabs>
          <w:tab w:val="num" w:pos="1710"/>
        </w:tabs>
        <w:autoSpaceDE w:val="0"/>
        <w:autoSpaceDN w:val="0"/>
        <w:adjustRightInd w:val="0"/>
        <w:jc w:val="both"/>
      </w:pPr>
      <w:r w:rsidRPr="00CB1ACD">
        <w:t>Точките на участниците се определят в съотношение към най-голeмия предложен гаранционен срок по следната формула:</w:t>
      </w:r>
    </w:p>
    <w:p w:rsidR="00CB1ACD" w:rsidRPr="00CB1ACD" w:rsidRDefault="00CB1ACD" w:rsidP="00CB1ACD">
      <w:pPr>
        <w:outlineLvl w:val="0"/>
      </w:pPr>
      <w:r w:rsidRPr="00CB1ACD">
        <w:rPr>
          <w:b/>
        </w:rPr>
        <w:t>Т2 = (</w:t>
      </w:r>
      <w:r w:rsidRPr="00CB1ACD">
        <w:rPr>
          <w:b/>
          <w:lang w:val="fr-FR"/>
        </w:rPr>
        <w:t>A</w:t>
      </w:r>
      <w:r w:rsidRPr="00CB1ACD">
        <w:rPr>
          <w:b/>
        </w:rPr>
        <w:t xml:space="preserve">i / </w:t>
      </w:r>
      <w:r w:rsidRPr="00CB1ACD">
        <w:rPr>
          <w:b/>
          <w:lang w:val="fr-FR"/>
        </w:rPr>
        <w:t>Amax</w:t>
      </w:r>
      <w:r w:rsidRPr="00CB1ACD">
        <w:rPr>
          <w:b/>
        </w:rPr>
        <w:t>) х 10</w:t>
      </w:r>
      <w:r w:rsidRPr="00CB1ACD">
        <w:t>, където</w:t>
      </w:r>
    </w:p>
    <w:p w:rsidR="00CB1ACD" w:rsidRPr="00CB1ACD" w:rsidRDefault="00CB1ACD" w:rsidP="00CB1ACD">
      <w:pPr>
        <w:jc w:val="both"/>
      </w:pPr>
      <w:r w:rsidRPr="00CB1ACD">
        <w:rPr>
          <w:b/>
        </w:rPr>
        <w:t>Amax</w:t>
      </w:r>
      <w:r w:rsidRPr="00CB1ACD">
        <w:t xml:space="preserve"> – представлява максималният предложен гаранционен срок;</w:t>
      </w:r>
    </w:p>
    <w:p w:rsidR="00CB1ACD" w:rsidRPr="00CB1ACD" w:rsidRDefault="00CB1ACD" w:rsidP="00CB1ACD">
      <w:pPr>
        <w:jc w:val="both"/>
      </w:pPr>
      <w:r w:rsidRPr="00CB1ACD">
        <w:rPr>
          <w:b/>
        </w:rPr>
        <w:t>Ai</w:t>
      </w:r>
      <w:r w:rsidRPr="00CB1ACD">
        <w:t xml:space="preserve"> – представлява гаранционния срок, предложени от </w:t>
      </w:r>
      <w:r w:rsidRPr="00CB1ACD">
        <w:rPr>
          <w:b/>
        </w:rPr>
        <w:t xml:space="preserve">i - тия </w:t>
      </w:r>
      <w:r w:rsidRPr="00CB1ACD">
        <w:t xml:space="preserve">участник </w:t>
      </w:r>
      <w:bookmarkStart w:id="18" w:name="_GoBack"/>
      <w:bookmarkEnd w:id="18"/>
    </w:p>
    <w:p w:rsidR="00CE2E5E" w:rsidRDefault="00CE2E5E" w:rsidP="00C944C6">
      <w:pPr>
        <w:ind w:right="-82"/>
        <w:jc w:val="both"/>
        <w:rPr>
          <w:b/>
          <w:u w:val="single"/>
          <w:lang w:val="en-US"/>
        </w:rPr>
      </w:pPr>
    </w:p>
    <w:p w:rsidR="00CB1ACD" w:rsidRPr="00CB1ACD" w:rsidRDefault="00CB1ACD" w:rsidP="00C944C6">
      <w:pPr>
        <w:ind w:firstLine="708"/>
        <w:jc w:val="both"/>
        <w:rPr>
          <w:b/>
          <w:lang w:val="ru-RU" w:eastAsia="en-US"/>
        </w:rPr>
      </w:pPr>
      <w:r w:rsidRPr="001E7B91">
        <w:rPr>
          <w:b/>
          <w:lang w:val="ru-RU" w:eastAsia="ko-KR"/>
        </w:rPr>
        <w:t>3</w:t>
      </w:r>
      <w:r w:rsidRPr="001E7B91">
        <w:rPr>
          <w:b/>
          <w:lang w:val="ru-RU" w:eastAsia="en-US"/>
        </w:rPr>
        <w:t>.2. (</w:t>
      </w:r>
      <w:r w:rsidRPr="001E7B91">
        <w:rPr>
          <w:b/>
          <w:lang w:eastAsia="en-US"/>
        </w:rPr>
        <w:t>ПЦ</w:t>
      </w:r>
      <w:r w:rsidRPr="001E7B91">
        <w:rPr>
          <w:b/>
          <w:lang w:val="ru-RU" w:eastAsia="en-US"/>
        </w:rPr>
        <w:t xml:space="preserve">) </w:t>
      </w:r>
      <w:r w:rsidRPr="001E7B91">
        <w:rPr>
          <w:b/>
          <w:lang w:eastAsia="en-US"/>
        </w:rPr>
        <w:t>Предлагана</w:t>
      </w:r>
      <w:r w:rsidRPr="001E7B91">
        <w:rPr>
          <w:b/>
          <w:lang w:val="ru-RU" w:eastAsia="en-US"/>
        </w:rPr>
        <w:t xml:space="preserve"> цена в лева</w:t>
      </w:r>
      <w:r w:rsidR="00C944C6" w:rsidRPr="001E7B91">
        <w:rPr>
          <w:b/>
          <w:lang w:val="ru-RU" w:eastAsia="en-US"/>
        </w:rPr>
        <w:t xml:space="preserve"> </w:t>
      </w:r>
      <w:r w:rsidR="00C944C6" w:rsidRPr="001E7B91">
        <w:rPr>
          <w:b/>
          <w:lang w:eastAsia="en-US"/>
        </w:rPr>
        <w:t xml:space="preserve">(максимален брой </w:t>
      </w:r>
      <w:r w:rsidR="009740B8" w:rsidRPr="001E7B91">
        <w:rPr>
          <w:b/>
          <w:lang w:eastAsia="en-US"/>
        </w:rPr>
        <w:t>7</w:t>
      </w:r>
      <w:r w:rsidR="00C944C6" w:rsidRPr="001E7B91">
        <w:rPr>
          <w:b/>
          <w:lang w:eastAsia="en-US"/>
        </w:rPr>
        <w:t>0 точки)</w:t>
      </w:r>
    </w:p>
    <w:p w:rsidR="00CB1ACD" w:rsidRDefault="00CB1ACD" w:rsidP="00CB1ACD">
      <w:pPr>
        <w:ind w:firstLine="708"/>
        <w:jc w:val="both"/>
        <w:rPr>
          <w:lang w:val="ru-RU" w:eastAsia="en-US"/>
        </w:rPr>
      </w:pPr>
      <w:r w:rsidRPr="00CB1ACD">
        <w:rPr>
          <w:lang w:val="ru-RU" w:eastAsia="en-US"/>
        </w:rPr>
        <w:t xml:space="preserve">Оценката по този показател се формира, като най-ниската предложена цена, без ДДС от участник, допуснат до оценяване, се разделя на цената, без ДДС, предложена от съответния участник, който се оценява и резултатът се умножава по </w:t>
      </w:r>
      <w:r w:rsidR="001601FE">
        <w:rPr>
          <w:lang w:val="en-US" w:eastAsia="en-US"/>
        </w:rPr>
        <w:t>7</w:t>
      </w:r>
      <w:r w:rsidRPr="00CB1ACD">
        <w:rPr>
          <w:lang w:eastAsia="en-US"/>
        </w:rPr>
        <w:t>0</w:t>
      </w:r>
      <w:r w:rsidRPr="00CB1ACD">
        <w:rPr>
          <w:lang w:val="ru-RU" w:eastAsia="en-US"/>
        </w:rPr>
        <w:t xml:space="preserve"> (</w:t>
      </w:r>
      <w:r w:rsidR="001601FE">
        <w:rPr>
          <w:lang w:eastAsia="en-US"/>
        </w:rPr>
        <w:t>седем</w:t>
      </w:r>
      <w:r w:rsidRPr="00CB1ACD">
        <w:rPr>
          <w:lang w:eastAsia="en-US"/>
        </w:rPr>
        <w:t>десет</w:t>
      </w:r>
      <w:r w:rsidRPr="00CB1ACD">
        <w:rPr>
          <w:lang w:val="ru-RU" w:eastAsia="en-US"/>
        </w:rPr>
        <w:t xml:space="preserve"> точки).</w:t>
      </w:r>
    </w:p>
    <w:p w:rsidR="00C944C6" w:rsidRDefault="00C944C6" w:rsidP="00CB1ACD">
      <w:pPr>
        <w:ind w:firstLine="708"/>
        <w:jc w:val="both"/>
        <w:rPr>
          <w:lang w:val="ru-RU" w:eastAsia="en-US"/>
        </w:rPr>
      </w:pPr>
    </w:p>
    <w:p w:rsidR="00CB1ACD" w:rsidRPr="00CB1ACD" w:rsidRDefault="00CB1ACD" w:rsidP="00C944C6">
      <w:pPr>
        <w:tabs>
          <w:tab w:val="left" w:pos="284"/>
        </w:tabs>
        <w:rPr>
          <w:lang w:val="fr-FR" w:eastAsia="en-US"/>
        </w:rPr>
      </w:pPr>
      <w:r w:rsidRPr="00CB1ACD">
        <w:rPr>
          <w:b/>
          <w:lang w:eastAsia="en-US"/>
        </w:rPr>
        <w:t>ПЦ</w:t>
      </w:r>
      <w:r w:rsidRPr="00CB1ACD">
        <w:rPr>
          <w:b/>
          <w:lang w:val="fr-FR" w:eastAsia="en-US"/>
        </w:rPr>
        <w:t xml:space="preserve"> = (</w:t>
      </w:r>
      <w:r w:rsidRPr="00CB1ACD">
        <w:rPr>
          <w:b/>
          <w:lang w:eastAsia="en-US"/>
        </w:rPr>
        <w:t>ПЦ</w:t>
      </w:r>
      <w:r w:rsidRPr="00CB1ACD">
        <w:rPr>
          <w:b/>
          <w:lang w:val="fr-FR" w:eastAsia="en-US"/>
        </w:rPr>
        <w:t xml:space="preserve"> min /</w:t>
      </w:r>
      <w:r w:rsidRPr="00CB1ACD">
        <w:rPr>
          <w:b/>
          <w:lang w:eastAsia="en-US"/>
        </w:rPr>
        <w:t xml:space="preserve"> ПЦ</w:t>
      </w:r>
      <w:r w:rsidRPr="00CB1ACD">
        <w:rPr>
          <w:b/>
          <w:lang w:val="fr-FR" w:eastAsia="en-US"/>
        </w:rPr>
        <w:t xml:space="preserve"> n ) </w:t>
      </w:r>
      <w:r w:rsidR="00C944C6">
        <w:rPr>
          <w:b/>
          <w:lang w:eastAsia="en-US"/>
        </w:rPr>
        <w:t xml:space="preserve">х </w:t>
      </w:r>
      <w:r w:rsidR="009740B8">
        <w:rPr>
          <w:b/>
          <w:lang w:eastAsia="en-US"/>
        </w:rPr>
        <w:t>7</w:t>
      </w:r>
      <w:r w:rsidRPr="00CB1ACD">
        <w:rPr>
          <w:b/>
          <w:lang w:val="fr-FR" w:eastAsia="en-US"/>
        </w:rPr>
        <w:t>0</w:t>
      </w:r>
    </w:p>
    <w:p w:rsidR="00CB1ACD" w:rsidRPr="00CB1ACD" w:rsidRDefault="00CB1ACD" w:rsidP="00CB1ACD">
      <w:pPr>
        <w:tabs>
          <w:tab w:val="left" w:pos="284"/>
        </w:tabs>
        <w:jc w:val="both"/>
        <w:rPr>
          <w:lang w:val="fr-FR" w:eastAsia="en-US"/>
        </w:rPr>
      </w:pPr>
      <w:r w:rsidRPr="00CB1ACD">
        <w:rPr>
          <w:lang w:val="fr-FR" w:eastAsia="en-US"/>
        </w:rPr>
        <w:t>където:</w:t>
      </w:r>
    </w:p>
    <w:p w:rsidR="00CB1ACD" w:rsidRPr="00CB1ACD" w:rsidRDefault="00CB1ACD" w:rsidP="00CB1ACD">
      <w:pPr>
        <w:tabs>
          <w:tab w:val="left" w:pos="284"/>
        </w:tabs>
        <w:jc w:val="both"/>
        <w:rPr>
          <w:lang w:val="fr-FR" w:eastAsia="en-US"/>
        </w:rPr>
      </w:pPr>
      <w:r w:rsidRPr="00CB1ACD">
        <w:rPr>
          <w:b/>
          <w:lang w:eastAsia="en-US"/>
        </w:rPr>
        <w:t>ПЦ</w:t>
      </w:r>
      <w:r w:rsidRPr="00CB1ACD">
        <w:rPr>
          <w:b/>
          <w:lang w:val="fr-FR" w:eastAsia="en-US"/>
        </w:rPr>
        <w:t xml:space="preserve"> min – </w:t>
      </w:r>
      <w:r w:rsidRPr="00CB1ACD">
        <w:rPr>
          <w:lang w:val="fr-FR" w:eastAsia="en-US"/>
        </w:rPr>
        <w:t xml:space="preserve"> най-ниската предложена цена от участник, допуснат до класиране в лева, без ДДС</w:t>
      </w:r>
    </w:p>
    <w:p w:rsidR="00CB1ACD" w:rsidRPr="00CB1ACD" w:rsidRDefault="00CB1ACD" w:rsidP="00CB1ACD">
      <w:pPr>
        <w:tabs>
          <w:tab w:val="left" w:pos="284"/>
        </w:tabs>
        <w:jc w:val="both"/>
        <w:rPr>
          <w:lang w:eastAsia="en-US"/>
        </w:rPr>
      </w:pPr>
      <w:r w:rsidRPr="00CB1ACD">
        <w:rPr>
          <w:b/>
          <w:lang w:eastAsia="en-US"/>
        </w:rPr>
        <w:t>ПЦ</w:t>
      </w:r>
      <w:r w:rsidRPr="00CB1ACD">
        <w:rPr>
          <w:b/>
          <w:lang w:val="fr-FR" w:eastAsia="en-US"/>
        </w:rPr>
        <w:t xml:space="preserve"> n </w:t>
      </w:r>
      <w:r w:rsidRPr="00CB1ACD">
        <w:rPr>
          <w:lang w:val="fr-FR" w:eastAsia="en-US"/>
        </w:rPr>
        <w:t>- е цената, предложена от конкретен участник за изпълнение на предмета на поръчката (в лева, без ДДС).</w:t>
      </w:r>
    </w:p>
    <w:p w:rsidR="00CB1ACD" w:rsidRPr="00CB1ACD" w:rsidRDefault="00CB1ACD" w:rsidP="00CB1ACD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C653DF" w:rsidRPr="00C653DF" w:rsidRDefault="00C653DF" w:rsidP="00C653DF">
      <w:pPr>
        <w:spacing w:line="280" w:lineRule="exact"/>
        <w:rPr>
          <w:rFonts w:eastAsia="Frutiger Next for EVN Light"/>
          <w:i/>
          <w:spacing w:val="4"/>
          <w:u w:val="single"/>
          <w:lang w:eastAsia="de-AT"/>
        </w:rPr>
      </w:pPr>
      <w:r w:rsidRPr="00C653DF">
        <w:rPr>
          <w:rFonts w:eastAsia="Frutiger Next for EVN Light"/>
          <w:i/>
          <w:spacing w:val="4"/>
          <w:u w:val="single"/>
          <w:lang w:eastAsia="de-AT"/>
        </w:rPr>
        <w:t>Указания:</w:t>
      </w:r>
    </w:p>
    <w:p w:rsidR="00C653DF" w:rsidRPr="00C653DF" w:rsidRDefault="00C653DF" w:rsidP="00C653DF">
      <w:pPr>
        <w:spacing w:line="280" w:lineRule="exact"/>
        <w:jc w:val="both"/>
        <w:rPr>
          <w:rFonts w:eastAsia="Frutiger Next for EVN Light"/>
          <w:i/>
          <w:spacing w:val="4"/>
          <w:lang w:val="en-US" w:eastAsia="de-AT"/>
        </w:rPr>
      </w:pPr>
      <w:r w:rsidRPr="00C653DF">
        <w:rPr>
          <w:rFonts w:eastAsia="Frutiger Next for EVN Light"/>
          <w:i/>
          <w:spacing w:val="4"/>
          <w:lang w:eastAsia="de-AT"/>
        </w:rPr>
        <w:tab/>
        <w:t>За целите на оценяването, коефициентите ще се изчисляват до втория знак след десетичната запетая.</w:t>
      </w:r>
    </w:p>
    <w:p w:rsidR="00C653DF" w:rsidRPr="00C653DF" w:rsidRDefault="00C653DF" w:rsidP="00C653DF">
      <w:pPr>
        <w:spacing w:line="280" w:lineRule="exact"/>
        <w:ind w:firstLine="708"/>
        <w:jc w:val="both"/>
        <w:rPr>
          <w:rFonts w:eastAsia="Frutiger Next for EVN Light"/>
          <w:i/>
          <w:spacing w:val="4"/>
          <w:lang w:eastAsia="de-AT"/>
        </w:rPr>
      </w:pPr>
      <w:r w:rsidRPr="00C653DF">
        <w:rPr>
          <w:rFonts w:eastAsia="Frutiger Next for EVN Light"/>
          <w:i/>
          <w:spacing w:val="4"/>
          <w:lang w:eastAsia="de-AT"/>
        </w:rPr>
        <w:t>Когато комплексните оценки на две или повече оферти са равни, комисията прилага чл. 58 от ППЗОП.</w:t>
      </w:r>
    </w:p>
    <w:p w:rsidR="00CB1ACD" w:rsidRDefault="00CB1ACD" w:rsidP="00BF07C2">
      <w:pPr>
        <w:spacing w:before="60" w:after="60"/>
        <w:jc w:val="both"/>
        <w:rPr>
          <w:b/>
        </w:rPr>
      </w:pPr>
    </w:p>
    <w:p w:rsidR="00CB1ACD" w:rsidRPr="00C12DCE" w:rsidRDefault="00CB1ACD" w:rsidP="00BF07C2">
      <w:pPr>
        <w:spacing w:before="60" w:after="60"/>
        <w:jc w:val="both"/>
        <w:rPr>
          <w:b/>
        </w:rPr>
      </w:pPr>
    </w:p>
    <w:sectPr w:rsidR="00CB1ACD" w:rsidRPr="00C12DCE" w:rsidSect="002038AC">
      <w:footerReference w:type="default" r:id="rId8"/>
      <w:pgSz w:w="11907" w:h="16840" w:code="9"/>
      <w:pgMar w:top="907" w:right="851" w:bottom="964" w:left="1134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C79" w:rsidRDefault="005B6C79" w:rsidP="00EE2990">
      <w:r>
        <w:separator/>
      </w:r>
    </w:p>
  </w:endnote>
  <w:endnote w:type="continuationSeparator" w:id="0">
    <w:p w:rsidR="005B6C79" w:rsidRDefault="005B6C79" w:rsidP="00EE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 Next for EVN Light">
    <w:altName w:val="Corbe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262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2990" w:rsidRDefault="00EE29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B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2990" w:rsidRDefault="00EE2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C79" w:rsidRDefault="005B6C79" w:rsidP="00EE2990">
      <w:r>
        <w:separator/>
      </w:r>
    </w:p>
  </w:footnote>
  <w:footnote w:type="continuationSeparator" w:id="0">
    <w:p w:rsidR="005B6C79" w:rsidRDefault="005B6C79" w:rsidP="00EE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3BA0321"/>
    <w:multiLevelType w:val="hybridMultilevel"/>
    <w:tmpl w:val="E68C3F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A1305"/>
    <w:multiLevelType w:val="hybridMultilevel"/>
    <w:tmpl w:val="AF889CA0"/>
    <w:lvl w:ilvl="0" w:tplc="3B2A11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6258A"/>
    <w:multiLevelType w:val="hybridMultilevel"/>
    <w:tmpl w:val="41607CE2"/>
    <w:lvl w:ilvl="0" w:tplc="59301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C2"/>
    <w:rsid w:val="00056972"/>
    <w:rsid w:val="000740D2"/>
    <w:rsid w:val="0007582B"/>
    <w:rsid w:val="00075923"/>
    <w:rsid w:val="001532A8"/>
    <w:rsid w:val="001601FE"/>
    <w:rsid w:val="001638F4"/>
    <w:rsid w:val="00177CAF"/>
    <w:rsid w:val="00183C90"/>
    <w:rsid w:val="001E6511"/>
    <w:rsid w:val="001E7B91"/>
    <w:rsid w:val="001F3913"/>
    <w:rsid w:val="002038AC"/>
    <w:rsid w:val="002433F0"/>
    <w:rsid w:val="00247C67"/>
    <w:rsid w:val="0028669F"/>
    <w:rsid w:val="002D28AD"/>
    <w:rsid w:val="002D4928"/>
    <w:rsid w:val="002E3552"/>
    <w:rsid w:val="00302FB7"/>
    <w:rsid w:val="00321107"/>
    <w:rsid w:val="00413011"/>
    <w:rsid w:val="004729D3"/>
    <w:rsid w:val="004B1E95"/>
    <w:rsid w:val="004C6CD9"/>
    <w:rsid w:val="00512220"/>
    <w:rsid w:val="00545E8B"/>
    <w:rsid w:val="00550901"/>
    <w:rsid w:val="00586001"/>
    <w:rsid w:val="005B6C79"/>
    <w:rsid w:val="005C12EC"/>
    <w:rsid w:val="005D4CE2"/>
    <w:rsid w:val="006174A2"/>
    <w:rsid w:val="006670D2"/>
    <w:rsid w:val="0069777A"/>
    <w:rsid w:val="00721677"/>
    <w:rsid w:val="007542C1"/>
    <w:rsid w:val="007865D4"/>
    <w:rsid w:val="008106AB"/>
    <w:rsid w:val="00851171"/>
    <w:rsid w:val="00867260"/>
    <w:rsid w:val="008B2422"/>
    <w:rsid w:val="008B2B73"/>
    <w:rsid w:val="008B556D"/>
    <w:rsid w:val="008D1BFD"/>
    <w:rsid w:val="008E513B"/>
    <w:rsid w:val="008E7BAC"/>
    <w:rsid w:val="0090637F"/>
    <w:rsid w:val="00947C99"/>
    <w:rsid w:val="0095663C"/>
    <w:rsid w:val="009740B8"/>
    <w:rsid w:val="009867ED"/>
    <w:rsid w:val="009D3942"/>
    <w:rsid w:val="00A10767"/>
    <w:rsid w:val="00A15147"/>
    <w:rsid w:val="00A3511B"/>
    <w:rsid w:val="00A726CB"/>
    <w:rsid w:val="00A806F8"/>
    <w:rsid w:val="00A832CA"/>
    <w:rsid w:val="00A85E81"/>
    <w:rsid w:val="00AA71C1"/>
    <w:rsid w:val="00AA7A8B"/>
    <w:rsid w:val="00AC6489"/>
    <w:rsid w:val="00B034BB"/>
    <w:rsid w:val="00B37764"/>
    <w:rsid w:val="00B81A4C"/>
    <w:rsid w:val="00B82851"/>
    <w:rsid w:val="00BF07C2"/>
    <w:rsid w:val="00C44484"/>
    <w:rsid w:val="00C653DF"/>
    <w:rsid w:val="00C944C6"/>
    <w:rsid w:val="00CB1ACD"/>
    <w:rsid w:val="00CC093D"/>
    <w:rsid w:val="00CE18B6"/>
    <w:rsid w:val="00CE2E5E"/>
    <w:rsid w:val="00CE3EB8"/>
    <w:rsid w:val="00D625E3"/>
    <w:rsid w:val="00D857F1"/>
    <w:rsid w:val="00DC6EEE"/>
    <w:rsid w:val="00DD1B1E"/>
    <w:rsid w:val="00E04A15"/>
    <w:rsid w:val="00E4746B"/>
    <w:rsid w:val="00EB0FDF"/>
    <w:rsid w:val="00EC1BD5"/>
    <w:rsid w:val="00EC673B"/>
    <w:rsid w:val="00EE2990"/>
    <w:rsid w:val="00F22CD2"/>
    <w:rsid w:val="00F505EA"/>
    <w:rsid w:val="00F90D3E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BodyText">
    <w:name w:val="Body Text"/>
    <w:basedOn w:val="Normal"/>
    <w:link w:val="BodyTextChar"/>
    <w:rsid w:val="00BF07C2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BF07C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rsid w:val="00BF0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07C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firstline">
    <w:name w:val="firstline"/>
    <w:basedOn w:val="Normal"/>
    <w:rsid w:val="00BF07C2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F07C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648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4A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4A1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1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BodyText">
    <w:name w:val="Body Text"/>
    <w:basedOn w:val="Normal"/>
    <w:link w:val="BodyTextChar"/>
    <w:rsid w:val="00BF07C2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BF07C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rsid w:val="00BF0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07C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firstline">
    <w:name w:val="firstline"/>
    <w:basedOn w:val="Normal"/>
    <w:rsid w:val="00BF07C2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F07C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648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04A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04A1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1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E29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9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8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18</cp:revision>
  <cp:lastPrinted>2017-11-29T13:41:00Z</cp:lastPrinted>
  <dcterms:created xsi:type="dcterms:W3CDTF">2018-03-02T12:02:00Z</dcterms:created>
  <dcterms:modified xsi:type="dcterms:W3CDTF">2018-04-23T08:37:00Z</dcterms:modified>
</cp:coreProperties>
</file>